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693A0" w14:textId="77777777" w:rsidR="001B29A0" w:rsidRDefault="001B29A0" w:rsidP="005E0863">
      <w:pPr>
        <w:jc w:val="both"/>
        <w:rPr>
          <w:b/>
          <w:bCs/>
          <w:color w:val="EE0000"/>
          <w:sz w:val="32"/>
          <w:szCs w:val="32"/>
        </w:rPr>
      </w:pPr>
      <w:r w:rsidRPr="00511BAD">
        <w:rPr>
          <w:b/>
          <w:bCs/>
          <w:color w:val="EE0000"/>
          <w:sz w:val="32"/>
          <w:szCs w:val="32"/>
        </w:rPr>
        <w:t xml:space="preserve">NTS wysyłany jest razem z wnioskiem </w:t>
      </w:r>
      <w:r>
        <w:rPr>
          <w:b/>
          <w:bCs/>
          <w:color w:val="EE0000"/>
          <w:sz w:val="32"/>
          <w:szCs w:val="32"/>
        </w:rPr>
        <w:t>na</w:t>
      </w:r>
      <w:r w:rsidRPr="00511BAD">
        <w:rPr>
          <w:b/>
          <w:bCs/>
          <w:color w:val="EE0000"/>
          <w:sz w:val="32"/>
          <w:szCs w:val="32"/>
        </w:rPr>
        <w:t xml:space="preserve"> adres e-Doręczenia </w:t>
      </w:r>
      <w:r>
        <w:rPr>
          <w:b/>
          <w:bCs/>
          <w:color w:val="EE0000"/>
          <w:sz w:val="32"/>
          <w:szCs w:val="32"/>
        </w:rPr>
        <w:t>Lokalnej Komisji Etycznej ze skrzynki Użytkownika lub jednostki nadrzędnej (Uczelnia, Instytut, itp.)</w:t>
      </w:r>
    </w:p>
    <w:p w14:paraId="3C5FA5F1" w14:textId="77777777" w:rsidR="001B29A0" w:rsidRPr="00511BAD" w:rsidRDefault="001B29A0" w:rsidP="005E0863">
      <w:pPr>
        <w:jc w:val="both"/>
        <w:rPr>
          <w:b/>
          <w:bCs/>
          <w:color w:val="EE0000"/>
          <w:sz w:val="32"/>
          <w:szCs w:val="32"/>
        </w:rPr>
      </w:pPr>
    </w:p>
    <w:p w14:paraId="11989291" w14:textId="77777777" w:rsidR="003A355D" w:rsidRPr="00020F0A" w:rsidRDefault="003A355D" w:rsidP="005E0863">
      <w:pPr>
        <w:ind w:left="284" w:hanging="360"/>
        <w:jc w:val="both"/>
        <w:rPr>
          <w:b/>
          <w:bCs/>
          <w:sz w:val="28"/>
          <w:szCs w:val="28"/>
        </w:rPr>
      </w:pPr>
      <w:r w:rsidRPr="00020F0A">
        <w:rPr>
          <w:b/>
          <w:bCs/>
          <w:sz w:val="28"/>
          <w:szCs w:val="28"/>
        </w:rPr>
        <w:t>Wypełnianie Streszczeń Nietechnicznych NTS</w:t>
      </w:r>
    </w:p>
    <w:p w14:paraId="0CA0A45B" w14:textId="77777777" w:rsidR="009B5AC6" w:rsidRPr="009B5AC6" w:rsidRDefault="009B5AC6" w:rsidP="005E0863">
      <w:pPr>
        <w:ind w:left="284" w:hanging="360"/>
        <w:jc w:val="both"/>
        <w:rPr>
          <w:b/>
          <w:bCs/>
          <w:color w:val="4472C4" w:themeColor="accent1"/>
        </w:rPr>
      </w:pPr>
      <w:r w:rsidRPr="009B5AC6">
        <w:rPr>
          <w:b/>
          <w:bCs/>
          <w:color w:val="4472C4" w:themeColor="accent1"/>
        </w:rPr>
        <w:t>Do wniosku należy dołączyć streszczenie nietechniczne (NTS) napisane prostym językiem, zrozumiałym dla niespecjalisty – streszczenie nietechniczne to dokument, który jest informacją publiczną i jest publikowane na stronie UE, powinien być zanonimizowany.</w:t>
      </w:r>
    </w:p>
    <w:p w14:paraId="253B7DC5" w14:textId="77777777" w:rsidR="003A355D" w:rsidRDefault="003A355D" w:rsidP="005E0863">
      <w:pPr>
        <w:ind w:left="284" w:hanging="360"/>
        <w:jc w:val="both"/>
        <w:rPr>
          <w:b/>
          <w:bCs/>
          <w:color w:val="4472C4" w:themeColor="accent1"/>
        </w:rPr>
      </w:pPr>
      <w:r w:rsidRPr="00F166B9">
        <w:rPr>
          <w:b/>
          <w:bCs/>
          <w:color w:val="4472C4" w:themeColor="accent1"/>
        </w:rPr>
        <w:t>Nie zmieniamy treści wierszy pisanych niebieską czcionką – to są hiperłącza, które przenoszą do kolejnych arkuszy, które należy wypełniać.</w:t>
      </w:r>
    </w:p>
    <w:p w14:paraId="3D4668F3" w14:textId="77777777" w:rsidR="009B5AC6" w:rsidRDefault="009B5AC6" w:rsidP="005E0863">
      <w:pPr>
        <w:jc w:val="both"/>
        <w:rPr>
          <w:b/>
          <w:bCs/>
        </w:rPr>
      </w:pPr>
    </w:p>
    <w:p w14:paraId="7654AA26" w14:textId="09CDF541" w:rsidR="003A355D" w:rsidRDefault="003A355D" w:rsidP="005E0863">
      <w:pPr>
        <w:jc w:val="both"/>
      </w:pPr>
      <w:r w:rsidRPr="00B20114">
        <w:rPr>
          <w:b/>
          <w:bCs/>
        </w:rPr>
        <w:t>Pkt. 4</w:t>
      </w:r>
      <w:r>
        <w:t xml:space="preserve"> – wniosek jest składany na poziomie UE – zaznaczamy TAK</w:t>
      </w:r>
    </w:p>
    <w:p w14:paraId="29107BA7" w14:textId="77777777" w:rsidR="003A355D" w:rsidRDefault="003A355D" w:rsidP="005E0863">
      <w:pPr>
        <w:jc w:val="both"/>
      </w:pPr>
      <w:r w:rsidRPr="00B20114">
        <w:rPr>
          <w:b/>
          <w:bCs/>
        </w:rPr>
        <w:t>Pkt. 8</w:t>
      </w:r>
      <w:r>
        <w:t xml:space="preserve"> – czas trwania projektu – liczba zgodna w czasem wskazanym we WNIOSKU</w:t>
      </w:r>
    </w:p>
    <w:p w14:paraId="78647547" w14:textId="77777777" w:rsidR="003A355D" w:rsidRDefault="003A355D" w:rsidP="005E0863">
      <w:pPr>
        <w:jc w:val="both"/>
      </w:pPr>
      <w:r w:rsidRPr="00B20114">
        <w:rPr>
          <w:b/>
          <w:bCs/>
        </w:rPr>
        <w:t>Pkt. 9</w:t>
      </w:r>
      <w:r>
        <w:t xml:space="preserve"> – słowa kluczowe – każde słowo w odrębnym wierszu – max. 5 słów</w:t>
      </w:r>
    </w:p>
    <w:p w14:paraId="40F42D2A" w14:textId="77777777" w:rsidR="003A355D" w:rsidRDefault="003A355D" w:rsidP="005E0863">
      <w:pPr>
        <w:jc w:val="both"/>
      </w:pPr>
      <w:r w:rsidRPr="00B20114">
        <w:rPr>
          <w:b/>
          <w:bCs/>
        </w:rPr>
        <w:t>Pkt. 15</w:t>
      </w:r>
      <w:r>
        <w:t xml:space="preserve"> – </w:t>
      </w:r>
      <w:r w:rsidRPr="00B20114">
        <w:rPr>
          <w:b/>
          <w:bCs/>
          <w:color w:val="4472C4" w:themeColor="accent1"/>
        </w:rPr>
        <w:t>Cel projektu</w:t>
      </w:r>
      <w:r w:rsidRPr="00E77219">
        <w:rPr>
          <w:color w:val="4472C4" w:themeColor="accent1"/>
        </w:rPr>
        <w:t xml:space="preserve"> </w:t>
      </w:r>
      <w:r>
        <w:t xml:space="preserve">– przenosi do arkusza </w:t>
      </w:r>
      <w:proofErr w:type="spellStart"/>
      <w:r>
        <w:t>Purpose</w:t>
      </w:r>
      <w:proofErr w:type="spellEnd"/>
      <w:r>
        <w:t xml:space="preserve"> of the </w:t>
      </w:r>
      <w:proofErr w:type="spellStart"/>
      <w:r>
        <w:t>project</w:t>
      </w:r>
      <w:proofErr w:type="spellEnd"/>
      <w:r>
        <w:t xml:space="preserve"> -  wybieramy z listy rozwijanej jeden cel - jeżeli Wnioskodawca uważa że wniosek obejmuje kilka celów wpisujemy jeden, nadrzędny</w:t>
      </w:r>
    </w:p>
    <w:p w14:paraId="72756E36" w14:textId="77777777" w:rsidR="003A355D" w:rsidRDefault="003A355D" w:rsidP="005E0863">
      <w:pPr>
        <w:jc w:val="both"/>
      </w:pPr>
      <w:r w:rsidRPr="00B20114">
        <w:rPr>
          <w:b/>
          <w:bCs/>
        </w:rPr>
        <w:t>Pkt. 26</w:t>
      </w:r>
      <w:r>
        <w:t xml:space="preserve"> – </w:t>
      </w:r>
      <w:r w:rsidRPr="00B20114">
        <w:rPr>
          <w:b/>
          <w:bCs/>
          <w:color w:val="4472C4" w:themeColor="accent1"/>
        </w:rPr>
        <w:t>Spodziewane szkody</w:t>
      </w:r>
      <w:r w:rsidRPr="00E77219">
        <w:rPr>
          <w:color w:val="4472C4" w:themeColor="accent1"/>
        </w:rPr>
        <w:t xml:space="preserve"> </w:t>
      </w:r>
      <w:r>
        <w:t xml:space="preserve">– przenosi do arkusza </w:t>
      </w:r>
      <w:proofErr w:type="spellStart"/>
      <w:r>
        <w:t>Expected</w:t>
      </w:r>
      <w:proofErr w:type="spellEnd"/>
      <w:r>
        <w:t xml:space="preserve"> </w:t>
      </w:r>
      <w:proofErr w:type="spellStart"/>
      <w:r>
        <w:t>harms</w:t>
      </w:r>
      <w:proofErr w:type="spellEnd"/>
      <w:r>
        <w:t xml:space="preserve"> – wypełnić arkusz zgodnie z wnioskiem</w:t>
      </w:r>
    </w:p>
    <w:p w14:paraId="1E11F22C" w14:textId="77777777" w:rsidR="003A355D" w:rsidRDefault="003A355D" w:rsidP="005E0863">
      <w:pPr>
        <w:jc w:val="both"/>
      </w:pPr>
      <w:r>
        <w:t>- wybieramy gatunek lub kilka gatunków</w:t>
      </w:r>
    </w:p>
    <w:p w14:paraId="318452D5" w14:textId="77777777" w:rsidR="003A355D" w:rsidRDefault="003A355D" w:rsidP="005E0863">
      <w:pPr>
        <w:jc w:val="both"/>
      </w:pPr>
      <w:r>
        <w:t>- wpisujemy liczbę zwierząt w kategoriach dotkliwości jakiej zwierzęta doświadczają.</w:t>
      </w:r>
    </w:p>
    <w:p w14:paraId="3C6A8ED8" w14:textId="77777777" w:rsidR="003A355D" w:rsidRDefault="003A355D" w:rsidP="005E0863">
      <w:pPr>
        <w:jc w:val="both"/>
      </w:pPr>
      <w:r>
        <w:t>Jeżeli pojedyncze zwierzę poddawane jest kilku procedurom wpisujemy najwyższą kategorię dotkliwości jakiej doświadcza.</w:t>
      </w:r>
    </w:p>
    <w:p w14:paraId="5EF6C9A9" w14:textId="77777777" w:rsidR="003A355D" w:rsidRDefault="003A355D" w:rsidP="005E0863">
      <w:pPr>
        <w:jc w:val="both"/>
      </w:pPr>
      <w:r>
        <w:t>Łączna liczba zwierząt wskazana w poszczególnych kategoriach dotkliwości musi być równa liczbie zwierząt wskazanej w pkt. 7B WNIOSKU .</w:t>
      </w:r>
    </w:p>
    <w:p w14:paraId="3CA34664" w14:textId="77777777" w:rsidR="003A355D" w:rsidRDefault="003A355D" w:rsidP="005E0863">
      <w:pPr>
        <w:jc w:val="both"/>
      </w:pPr>
      <w:r>
        <w:t>Jeżeli w którejś z kategorii dotkliwości nie określamy liczby zwierząt wtedy wpisujemy cyfrę 0.</w:t>
      </w:r>
    </w:p>
    <w:p w14:paraId="5ED036AE" w14:textId="77777777" w:rsidR="003A355D" w:rsidRDefault="003A355D" w:rsidP="005E0863">
      <w:pPr>
        <w:jc w:val="both"/>
      </w:pPr>
      <w:r w:rsidRPr="00B20114">
        <w:rPr>
          <w:b/>
          <w:bCs/>
        </w:rPr>
        <w:t>Pkt. 27</w:t>
      </w:r>
      <w:r>
        <w:t xml:space="preserve"> - </w:t>
      </w:r>
      <w:r w:rsidRPr="00B20114">
        <w:rPr>
          <w:b/>
          <w:bCs/>
          <w:color w:val="4472C4" w:themeColor="accent1"/>
        </w:rPr>
        <w:t>Los zwierząt utrzymywanych przy życiu</w:t>
      </w:r>
      <w:r w:rsidRPr="00E77219">
        <w:rPr>
          <w:color w:val="4472C4" w:themeColor="accent1"/>
        </w:rPr>
        <w:t xml:space="preserve"> </w:t>
      </w:r>
      <w:r w:rsidRPr="00B14D77">
        <w:t xml:space="preserve">– odnośnik do arkusza –  </w:t>
      </w:r>
      <w:proofErr w:type="spellStart"/>
      <w:r w:rsidRPr="00B14D77">
        <w:t>Fate</w:t>
      </w:r>
      <w:proofErr w:type="spellEnd"/>
      <w:r w:rsidRPr="00B14D77">
        <w:t xml:space="preserve"> of </w:t>
      </w:r>
      <w:proofErr w:type="spellStart"/>
      <w:r w:rsidRPr="00B14D77">
        <w:t>animals</w:t>
      </w:r>
      <w:proofErr w:type="spellEnd"/>
      <w:r w:rsidRPr="00B14D77">
        <w:t xml:space="preserve"> </w:t>
      </w:r>
      <w:proofErr w:type="spellStart"/>
      <w:r w:rsidRPr="00B14D77">
        <w:t>kept</w:t>
      </w:r>
      <w:proofErr w:type="spellEnd"/>
      <w:r w:rsidRPr="00B14D77">
        <w:t xml:space="preserve"> </w:t>
      </w:r>
      <w:proofErr w:type="spellStart"/>
      <w:r w:rsidRPr="00B14D77">
        <w:t>alive</w:t>
      </w:r>
      <w:proofErr w:type="spellEnd"/>
      <w:r w:rsidRPr="00B14D77">
        <w:t xml:space="preserve"> – wypełnić </w:t>
      </w:r>
      <w:r>
        <w:t xml:space="preserve">arkusz </w:t>
      </w:r>
      <w:r w:rsidRPr="00B14D77">
        <w:t>tylko, jeśli zwierzęta zostają utrzymywane przy życiu.</w:t>
      </w:r>
    </w:p>
    <w:p w14:paraId="74CE8E92" w14:textId="77777777" w:rsidR="003A355D" w:rsidRDefault="003A355D" w:rsidP="005E0863">
      <w:pPr>
        <w:jc w:val="both"/>
      </w:pPr>
      <w:r>
        <w:t>- wybieramy gatunek lub kilka gatunków</w:t>
      </w:r>
    </w:p>
    <w:p w14:paraId="33405D51" w14:textId="77777777" w:rsidR="003A355D" w:rsidRDefault="003A355D" w:rsidP="005E0863">
      <w:pPr>
        <w:jc w:val="both"/>
      </w:pPr>
      <w:r>
        <w:t>- wpisujemy liczbę zwierząt jeżeli będą przeznaczone do ponownego wykorzystania w odpowiednią pozycję. Jeżeli np. 50 zwierząt będzie przywróconych do ponownego wykorzystania a pozostałych pozycji nie przewidujemy  - wtedy w pierwszej kolumnie wpisujemy 50 a w pozostałych wpisujemy 0.</w:t>
      </w:r>
    </w:p>
    <w:p w14:paraId="4748C404" w14:textId="77777777" w:rsidR="003A355D" w:rsidRDefault="003A355D" w:rsidP="005E0863">
      <w:pPr>
        <w:jc w:val="both"/>
      </w:pPr>
      <w:r>
        <w:t xml:space="preserve">Jeżeli wszystkie zwierzęta zostaną poddane eutanazji tej tabeli nie wypełniamy. </w:t>
      </w:r>
    </w:p>
    <w:p w14:paraId="4D94B441" w14:textId="77777777" w:rsidR="003A355D" w:rsidRDefault="003A355D" w:rsidP="005E0863">
      <w:pPr>
        <w:jc w:val="both"/>
        <w:rPr>
          <w:b/>
          <w:bCs/>
        </w:rPr>
      </w:pPr>
      <w:r w:rsidRPr="00B20114">
        <w:rPr>
          <w:b/>
          <w:bCs/>
        </w:rPr>
        <w:t>Punkty 6, 7 oraz od 40 wypełnia LKE.</w:t>
      </w:r>
    </w:p>
    <w:p w14:paraId="683C873D" w14:textId="47280763" w:rsidR="00D24D64" w:rsidRDefault="00D24D64" w:rsidP="005E0863">
      <w:pPr>
        <w:jc w:val="both"/>
      </w:pPr>
    </w:p>
    <w:sectPr w:rsidR="00D24D64" w:rsidSect="003A355D">
      <w:pgSz w:w="11906" w:h="16838"/>
      <w:pgMar w:top="1134" w:right="70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55D"/>
    <w:rsid w:val="00023501"/>
    <w:rsid w:val="00082766"/>
    <w:rsid w:val="001B29A0"/>
    <w:rsid w:val="003A355D"/>
    <w:rsid w:val="00511BAD"/>
    <w:rsid w:val="005E0863"/>
    <w:rsid w:val="007B527D"/>
    <w:rsid w:val="008730A5"/>
    <w:rsid w:val="008A7996"/>
    <w:rsid w:val="009B5AC6"/>
    <w:rsid w:val="00D24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E7BB4"/>
  <w15:chartTrackingRefBased/>
  <w15:docId w15:val="{B535297D-B18A-4723-A262-67E6D20F8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355D"/>
  </w:style>
  <w:style w:type="paragraph" w:styleId="Nagwek1">
    <w:name w:val="heading 1"/>
    <w:basedOn w:val="Normalny"/>
    <w:next w:val="Normalny"/>
    <w:link w:val="Nagwek1Znak"/>
    <w:uiPriority w:val="9"/>
    <w:qFormat/>
    <w:rsid w:val="003A35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35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35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35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35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35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35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35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35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35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35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35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355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355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355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355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355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355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35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35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35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35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35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355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355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355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35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355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35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314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Barasińska</dc:creator>
  <cp:keywords/>
  <dc:description/>
  <cp:lastModifiedBy>Remigiusz Gałęcki</cp:lastModifiedBy>
  <cp:revision>6</cp:revision>
  <dcterms:created xsi:type="dcterms:W3CDTF">2026-03-19T13:52:00Z</dcterms:created>
  <dcterms:modified xsi:type="dcterms:W3CDTF">2026-03-31T08:56:00Z</dcterms:modified>
</cp:coreProperties>
</file>